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дых-детям-льготной-категории"/>
    <w:p>
      <w:pPr>
        <w:pStyle w:val="Heading3"/>
      </w:pPr>
      <w:r>
        <w:t xml:space="preserve">Отдых детям льготной категории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rPr>
          <w:bCs/>
          <w:b/>
        </w:rPr>
        <w:t xml:space="preserve">Идет активная подготовка к старту</w:t>
      </w:r>
      <w:r>
        <w:br/>
      </w:r>
      <w:r>
        <w:rPr>
          <w:bCs/>
          <w:b/>
        </w:rPr>
        <w:t xml:space="preserve">детской оздоровительной кампании в городе Москве</w:t>
      </w:r>
    </w:p>
    <w:p>
      <w:pPr>
        <w:pStyle w:val="BodyText"/>
      </w:pPr>
      <w:r>
        <w:t xml:space="preserve">Департамент культуры города Москвы как уполномоченный орган исполнительной власти города Москвы по организации отдыха и оздоровления детей, в апреле 2015 года запускает детскую оздоровительную кампанию 2015 год.</w:t>
      </w:r>
    </w:p>
    <w:p>
      <w:pPr>
        <w:pStyle w:val="BodyText"/>
      </w:pPr>
      <w:r>
        <w:t xml:space="preserve">Электронная запись на отдых и оздоровление детей льготных категорий будет осуществляться через Портал государственных и муниципальных услуг города Москвы www.pgu.mos.ru. Родители (законные представители) смогут подать заявление на отдых и оздоровление своего ребенка, выбрать вид отдыха, определиться с конкретной оздоровительной организацией, программой и датами заезда. Для оформления и получения путевки необходимо иметь «личный кабинет» на Портале.</w:t>
      </w:r>
    </w:p>
    <w:p>
      <w:pPr>
        <w:pStyle w:val="BodyText"/>
      </w:pPr>
      <w:r>
        <w:t xml:space="preserve">Путевки за счет средств бюджета города Москвы предоставляются:</w:t>
      </w:r>
    </w:p>
    <w:p>
      <w:pPr>
        <w:pStyle w:val="BodyText"/>
      </w:pPr>
      <w:r>
        <w:rPr>
          <w:u w:val="single"/>
        </w:rPr>
        <w:t xml:space="preserve">не чаще одного раза в год:</w:t>
      </w:r>
    </w:p>
    <w:p>
      <w:pPr>
        <w:pStyle w:val="BodyText"/>
      </w:pPr>
      <w:r>
        <w:t xml:space="preserve">- детям из малообеспеченных семей, достигшим возраста</w:t>
      </w:r>
      <w:r>
        <w:t xml:space="preserve"> </w:t>
      </w:r>
      <w:r>
        <w:rPr>
          <w:bCs/>
          <w:b/>
        </w:rPr>
        <w:t xml:space="preserve">от 3 до 7 лет включительно</w:t>
      </w:r>
      <w:r>
        <w:t xml:space="preserve"> </w:t>
      </w:r>
      <w:r>
        <w:t xml:space="preserve">в сопровождении родителя или иного законного представителя, или обоих законных представителей, в случае сопровождения на отдых четырех и более детей в организации отдыха и оздоровления семейного типа;</w:t>
      </w:r>
    </w:p>
    <w:p>
      <w:pPr>
        <w:pStyle w:val="BodyText"/>
      </w:pPr>
      <w:r>
        <w:t xml:space="preserve">- детям льготных категорий</w:t>
      </w:r>
      <w:r>
        <w:t xml:space="preserve"> </w:t>
      </w:r>
      <w:r>
        <w:rPr>
          <w:bCs/>
          <w:b/>
        </w:rPr>
        <w:t xml:space="preserve">в возрасте от 7 до 15 лет включительно</w:t>
      </w:r>
      <w:r>
        <w:t xml:space="preserve"> </w:t>
      </w:r>
      <w:r>
        <w:t xml:space="preserve">в детский оздоровительный лагерь</w:t>
      </w:r>
      <w:r>
        <w:rPr>
          <w:bCs/>
          <w:b/>
        </w:rPr>
        <w:t xml:space="preserve">;</w:t>
      </w:r>
    </w:p>
    <w:p>
      <w:pPr>
        <w:pStyle w:val="BodyText"/>
      </w:pPr>
      <w:r>
        <w:rPr>
          <w:u w:val="single"/>
        </w:rPr>
        <w:t xml:space="preserve">не чаще одного раза в два года: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детям-сиротам и детям, оставшихся без попечения родителей, в возрасте</w:t>
      </w:r>
      <w:r>
        <w:t xml:space="preserve"> </w:t>
      </w:r>
      <w:r>
        <w:rPr>
          <w:bCs/>
          <w:b/>
        </w:rPr>
        <w:t xml:space="preserve">от 3 до 17 лет включительно</w:t>
      </w:r>
      <w:r>
        <w:t xml:space="preserve">, переданных на воспитание в приемную семью, на патронатное воспитание, в сопровождении приемного родителя или патронатного воспитателя.</w:t>
      </w:r>
    </w:p>
    <w:p>
      <w:pPr>
        <w:pStyle w:val="BodyText"/>
      </w:pPr>
      <w:r>
        <w:t xml:space="preserve">Департамент культуры города Москвы в 2015 году особенно тщательно подошел к планированию географии детского отдыха. Так, специалистами подведомственного учреждения – Государственного автономного учреждения культуры «Московское агентство организации отдыха и оздоровления» (ГАУК «Мосгортур») совместно с экспертами проанализированы особенности климата различных регионов России и терапевтический эффект, который он может оказать на здоровье московских детей.</w:t>
      </w:r>
    </w:p>
    <w:p>
      <w:pPr>
        <w:pStyle w:val="BodyText"/>
      </w:pPr>
      <w:r>
        <w:t xml:space="preserve">По итогам совместной работы выбраны следующие климатические зоны, которые будут принимать участие в детской оздоровительной кампании 2015 и в которых будут отдыхать юные москвичи:</w:t>
      </w:r>
    </w:p>
    <w:p>
      <w:pPr>
        <w:pStyle w:val="BodyText"/>
      </w:pPr>
      <w:r>
        <w:rPr>
          <w:u w:val="single"/>
          <w:bCs/>
          <w:b/>
        </w:rPr>
        <w:t xml:space="preserve">Черноморское и Азовское побережья Крыма</w:t>
      </w:r>
      <w:r>
        <w:rPr>
          <w:u w:val="single"/>
        </w:rPr>
        <w:t xml:space="preserve">;</w:t>
      </w:r>
    </w:p>
    <w:p>
      <w:pPr>
        <w:pStyle w:val="BodyText"/>
      </w:pPr>
      <w:r>
        <w:rPr>
          <w:u w:val="single"/>
          <w:bCs/>
          <w:b/>
        </w:rPr>
        <w:t xml:space="preserve">Черноморское и Азовское побережья Краснодарского края</w:t>
      </w:r>
      <w:r>
        <w:rPr>
          <w:u w:val="single"/>
        </w:rPr>
        <w:t xml:space="preserve">;</w:t>
      </w:r>
    </w:p>
    <w:p>
      <w:pPr>
        <w:pStyle w:val="BodyText"/>
      </w:pPr>
      <w:r>
        <w:rPr>
          <w:u w:val="single"/>
          <w:bCs/>
          <w:b/>
        </w:rPr>
        <w:t xml:space="preserve">Черноморское побережье Абхазии;</w:t>
      </w:r>
    </w:p>
    <w:p>
      <w:pPr>
        <w:pStyle w:val="BodyText"/>
      </w:pPr>
      <w:r>
        <w:rPr>
          <w:u w:val="single"/>
          <w:bCs/>
          <w:b/>
        </w:rPr>
        <w:t xml:space="preserve">Средняя полоса России;</w:t>
      </w:r>
    </w:p>
    <w:p>
      <w:pPr>
        <w:pStyle w:val="BodyText"/>
      </w:pPr>
      <w:r>
        <w:rPr>
          <w:u w:val="single"/>
          <w:bCs/>
          <w:b/>
        </w:rPr>
        <w:t xml:space="preserve">Московская область, Москва;</w:t>
      </w:r>
    </w:p>
    <w:p>
      <w:pPr>
        <w:pStyle w:val="BodyText"/>
      </w:pPr>
      <w:r>
        <w:rPr>
          <w:u w:val="single"/>
          <w:bCs/>
          <w:b/>
        </w:rPr>
        <w:t xml:space="preserve">Кавказские минеральные воды и Ставропольский край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Подробности и всю актуальную информацию о детской оздоровительной кампании можно узнать на официальных сайтах Департамента культуры города Москвы:</w:t>
      </w:r>
      <w:r>
        <w:t xml:space="preserve"> </w:t>
      </w:r>
      <w:r>
        <w:rPr>
          <w:bCs/>
          <w:b/>
        </w:rPr>
        <w:t xml:space="preserve">http://kultura.mos.ru/</w:t>
      </w:r>
      <w:r>
        <w:t xml:space="preserve"> </w:t>
      </w:r>
      <w:r>
        <w:rPr>
          <w:bCs/>
          <w:b/>
        </w:rPr>
        <w:t xml:space="preserve">и ГАУК «Мосгортур» -</w:t>
      </w:r>
      <w:r>
        <w:t xml:space="preserve"> </w:t>
      </w:r>
      <w:r>
        <w:rPr>
          <w:bCs/>
          <w:b/>
        </w:rPr>
        <w:t xml:space="preserve">www.mosgortur.ru. или по телефону бесплатной «горячей линии» Мосгортура +7 (800) 333-17-70.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об организации выездного отдыха и оздоровления детей в 2015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http://kurkino.mos.ru/presscenter/news/detail/1626743.html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Куркино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13-03-2015-order-the-rest/&#1055;&#1088;&#1080;&#1082;&#1072;&#1079;%20&#1086;&#1090;&#1076;&#1099;&#1093;%202015%20&#1075;&#1086;&#1076;%20(1).pdf" TargetMode="External" /><Relationship Type="http://schemas.openxmlformats.org/officeDocument/2006/relationships/hyperlink" Id="rId22" Target="http://kurkino.mos.ru" TargetMode="External" /><Relationship Type="http://schemas.openxmlformats.org/officeDocument/2006/relationships/hyperlink" Id="rId21" Target="http://kurkino.mos.ru/presscenter/news/detail/1626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13-03-2015-order-the-rest/&#1055;&#1088;&#1080;&#1082;&#1072;&#1079;%20&#1086;&#1090;&#1076;&#1099;&#1093;%202015%20&#1075;&#1086;&#1076;%20(1).pdf" TargetMode="External" /><Relationship Type="http://schemas.openxmlformats.org/officeDocument/2006/relationships/hyperlink" Id="rId22" Target="http://kurkino.mos.ru" TargetMode="External" /><Relationship Type="http://schemas.openxmlformats.org/officeDocument/2006/relationships/hyperlink" Id="rId21" Target="http://kurkino.mos.ru/presscenter/news/detail/1626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2025-06-07T18:31:34Z</dcterms:created>
  <dcterms:modified xsi:type="dcterms:W3CDTF">2025-06-07T18:31:34Z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