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1-от-27-января-2017-года"/>
    <w:p>
      <w:pPr>
        <w:pStyle w:val="Heading3"/>
      </w:pPr>
      <w:r>
        <w:t xml:space="preserve">ПРОТОКОЛ № 1 от 27 января 2017 года</w:t>
      </w:r>
    </w:p>
    <w:p>
      <w:pPr>
        <w:pStyle w:val="FirstParagraph"/>
      </w:pPr>
      <w:r>
        <w:t xml:space="preserve">04.05.2017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http://kurkino.mos.ru/anti-corruption/the-commission-for-observance-of-requirements-for-the-official-behaviour-of-state-civil-employees-of/detail/5838590.html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anti-corruption/the-commission-for-observance-of-requirements-for-the-official-behaviour-of-state-civil-employees-of/detail/5838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anti-corruption/the-commission-for-observance-of-requirements-for-the-official-behaviour-of-state-civil-employees-of/detail/5838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2024-09-27T06:03:21Z</dcterms:created>
  <dcterms:modified xsi:type="dcterms:W3CDTF">2024-09-27T06:03:21Z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