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f4c1bd90a62c7011bd71e918fdbf21497cb3a3b"/>
    <w:p>
      <w:pPr>
        <w:pStyle w:val="Heading3"/>
      </w:pPr>
      <w:r>
        <w:t xml:space="preserve">План мероприятий по противодействию коррупции в префектуре Северо-Западного административного округа города Москвы на 2014 год</w:t>
      </w:r>
    </w:p>
    <w:p>
      <w:pPr>
        <w:pStyle w:val="FirstParagraph"/>
      </w:pPr>
      <w:r>
        <w:t xml:space="preserve">18.07.2014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http://kurkino.mos.ru/anti-corruption/plans-papers-reports-reviews-static-information-on-combating-corruption/detail/1131279.html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Куркино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kurkino.mos.ru" TargetMode="External" /><Relationship Type="http://schemas.openxmlformats.org/officeDocument/2006/relationships/hyperlink" Id="rId20" Target="http://kurkino.mos.ru/anti-corruption/plans-papers-reports-reviews-static-information-on-combating-corruption/detail/113127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kurkino.mos.ru" TargetMode="External" /><Relationship Type="http://schemas.openxmlformats.org/officeDocument/2006/relationships/hyperlink" Id="rId20" Target="http://kurkino.mos.ru/anti-corruption/plans-papers-reports-reviews-static-information-on-combating-corruption/detail/113127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2025-07-27T08:15:57Z</dcterms:created>
  <dcterms:modified xsi:type="dcterms:W3CDTF">2025-07-27T08:15:57Z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