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2722f659cb6dafeb6367c44cc9cf1a7278c3c"/>
    <w:p>
      <w:pPr>
        <w:pStyle w:val="Heading3"/>
      </w:pPr>
      <w:r>
        <w:t xml:space="preserve">ПОСТАНОВЛЕНИЕ от 2 июня 2009 года N 513-ПП Об антикоррупционной экспертизе проектов правовых актов органов и должностных лиц исполнительной власти города Москвы</w:t>
      </w:r>
    </w:p>
    <w:p>
      <w:pPr>
        <w:pStyle w:val="FirstParagraph"/>
      </w:pPr>
      <w:r>
        <w:t xml:space="preserve">10.07.2014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http://kurkino.mos.ru/anti-corruption/anti-corruption-expertise/detail/1117951.html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anti-corruption/anti-corruption-expertise/detail/1117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anti-corruption/anti-corruption-expertise/detail/1117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2024-09-27T06:05:28Z</dcterms:created>
  <dcterms:modified xsi:type="dcterms:W3CDTF">2024-09-27T06:05:28Z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